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78742BA6" w:rsidR="008C640D" w:rsidRPr="00873474" w:rsidRDefault="004023E6" w:rsidP="00C52F4B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0" w:name="_Hlk97899886"/>
      <w:bookmarkStart w:id="1" w:name="_GoBack"/>
      <w:r w:rsidR="008339E9" w:rsidRPr="008339E9">
        <w:rPr>
          <w:rFonts w:ascii="標楷體" w:eastAsia="標楷體" w:hAnsi="標楷體" w:hint="eastAsia"/>
          <w:sz w:val="32"/>
          <w:szCs w:val="32"/>
        </w:rPr>
        <w:t>Line Bot及7697物聯網應用研習</w:t>
      </w:r>
      <w:bookmarkEnd w:id="0"/>
      <w:bookmarkEnd w:id="1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7B9CF321" w:rsidR="00D81415" w:rsidRPr="00C6510E" w:rsidRDefault="003D16FE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3D16FE">
        <w:rPr>
          <w:rFonts w:ascii="標楷體" w:eastAsia="標楷體" w:hAnsi="標楷體" w:cs="BiauKai" w:hint="eastAsia"/>
          <w:sz w:val="28"/>
          <w:szCs w:val="28"/>
        </w:rPr>
        <w:t>教育部國民及學前教育署1</w:t>
      </w:r>
      <w:r w:rsidR="002903BC">
        <w:rPr>
          <w:rFonts w:ascii="標楷體" w:eastAsia="標楷體" w:hAnsi="標楷體" w:cs="BiauKai" w:hint="eastAsia"/>
          <w:sz w:val="28"/>
          <w:szCs w:val="28"/>
        </w:rPr>
        <w:t>10</w:t>
      </w:r>
      <w:r w:rsidRPr="003D16FE">
        <w:rPr>
          <w:rFonts w:ascii="標楷體" w:eastAsia="標楷體" w:hAnsi="標楷體" w:cs="BiauKai" w:hint="eastAsia"/>
          <w:sz w:val="28"/>
          <w:szCs w:val="28"/>
        </w:rPr>
        <w:t>年8月2</w:t>
      </w:r>
      <w:r w:rsidR="002903BC">
        <w:rPr>
          <w:rFonts w:ascii="標楷體" w:eastAsia="標楷體" w:hAnsi="標楷體" w:cs="BiauKai" w:hint="eastAsia"/>
          <w:sz w:val="28"/>
          <w:szCs w:val="28"/>
        </w:rPr>
        <w:t>0</w:t>
      </w:r>
      <w:r w:rsidRPr="003D16FE">
        <w:rPr>
          <w:rFonts w:ascii="標楷體" w:eastAsia="標楷體" w:hAnsi="標楷體" w:cs="BiauKai" w:hint="eastAsia"/>
          <w:sz w:val="28"/>
          <w:szCs w:val="28"/>
        </w:rPr>
        <w:t>日臺教國署國字第</w:t>
      </w:r>
      <w:r w:rsidR="002903BC" w:rsidRPr="002903BC">
        <w:rPr>
          <w:rFonts w:ascii="標楷體" w:eastAsia="標楷體" w:hAnsi="標楷體" w:cs="BiauKai"/>
          <w:sz w:val="28"/>
          <w:szCs w:val="28"/>
        </w:rPr>
        <w:t>1100087109N</w:t>
      </w:r>
      <w:r w:rsidRPr="003D16FE">
        <w:rPr>
          <w:rFonts w:ascii="標楷體" w:eastAsia="標楷體" w:hAnsi="標楷體" w:cs="BiauKai" w:hint="eastAsia"/>
          <w:sz w:val="28"/>
          <w:szCs w:val="28"/>
        </w:rPr>
        <w:t>號函。</w:t>
      </w:r>
    </w:p>
    <w:p w14:paraId="4FF7AAA4" w14:textId="09AA9F37" w:rsidR="00D466BE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5670F5EF" w14:textId="4F2845A1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了解科技教育理念與意涵</w:t>
      </w:r>
      <w:r w:rsidR="002903BC">
        <w:rPr>
          <w:rFonts w:ascii="標楷體" w:eastAsia="標楷體" w:hAnsi="標楷體" w:cs="BiauKai" w:hint="eastAsia"/>
          <w:sz w:val="28"/>
          <w:szCs w:val="28"/>
        </w:rPr>
        <w:t>，</w:t>
      </w:r>
      <w:r w:rsidRPr="008339E9">
        <w:rPr>
          <w:rFonts w:ascii="標楷體" w:eastAsia="標楷體" w:hAnsi="標楷體" w:cs="BiauKai" w:hint="eastAsia"/>
          <w:sz w:val="28"/>
          <w:szCs w:val="28"/>
        </w:rPr>
        <w:t>提升資訊科技九年級課程物聯網專業能力及品質教學。</w:t>
      </w:r>
    </w:p>
    <w:p w14:paraId="4697B7A7" w14:textId="6195C75D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培養創新教學之思維與技巧</w:t>
      </w:r>
    </w:p>
    <w:p w14:paraId="456D55BD" w14:textId="5552D64D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了解物聯網在教學及生活上之運用。</w:t>
      </w:r>
    </w:p>
    <w:p w14:paraId="0E7C80D2" w14:textId="45D28349" w:rsidR="00C52F4B" w:rsidRPr="00C52F4B" w:rsidRDefault="008339E9" w:rsidP="00C52F4B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發展適性、多元、創新之教學活動，增進教師引領服</w:t>
      </w:r>
      <w:r w:rsidR="002903BC" w:rsidRPr="002903BC">
        <w:rPr>
          <w:rFonts w:ascii="標楷體" w:eastAsia="標楷體" w:hAnsi="標楷體" w:cs="BiauKai" w:hint="eastAsia"/>
          <w:sz w:val="28"/>
          <w:szCs w:val="28"/>
        </w:rPr>
        <w:t>膺</w:t>
      </w:r>
      <w:r w:rsidRPr="008339E9">
        <w:rPr>
          <w:rFonts w:ascii="標楷體" w:eastAsia="標楷體" w:hAnsi="標楷體" w:cs="BiauKai" w:hint="eastAsia"/>
          <w:sz w:val="28"/>
          <w:szCs w:val="28"/>
        </w:rPr>
        <w:t>課網精神之能力培養。</w:t>
      </w:r>
    </w:p>
    <w:p w14:paraId="0C3E2983" w14:textId="77777777" w:rsidR="0013069B" w:rsidRDefault="00C52F4B" w:rsidP="0013069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bookmarkStart w:id="2" w:name="_Hlk97900590"/>
      <w:r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學習內容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</w:p>
    <w:p w14:paraId="14EBD95E" w14:textId="6B330995" w:rsidR="0013069B" w:rsidRDefault="0013069B" w:rsidP="0013069B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1306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生N-IV-3科技與科學的關係。</w:t>
      </w:r>
    </w:p>
    <w:p w14:paraId="20037CB6" w14:textId="228378B1" w:rsidR="0013069B" w:rsidRDefault="0013069B" w:rsidP="0013069B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1306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生P-IV-7產品的設計與發展。</w:t>
      </w:r>
    </w:p>
    <w:p w14:paraId="5FB6A1B4" w14:textId="61F42C62" w:rsidR="0013069B" w:rsidRPr="0013069B" w:rsidRDefault="00C52F4B" w:rsidP="0013069B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C52F4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生A-IV-6新興科技的應用。</w:t>
      </w:r>
    </w:p>
    <w:bookmarkEnd w:id="2"/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539BD862" w:rsidR="00DE357A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505EE6" w:rsidRPr="00505EE6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科技中心主任(組長)、科技中心團隊教師、科技中心伙伴學校科技教師、教授科技領域課程教師。</w:t>
      </w:r>
    </w:p>
    <w:p w14:paraId="42955318" w14:textId="59C4B4D1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04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A17C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9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六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46D72218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15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1846C141" w:rsidR="009C1F60" w:rsidRPr="000E2095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3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06DDEE43" w14:textId="3CDA7DAD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5143CBA" w14:textId="77777777" w:rsidR="005560CE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0291DD5" w14:textId="483CFE4E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6F4D438" w14:textId="7EC85F6D" w:rsidR="000246B6" w:rsidRDefault="000246B6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6801CC5C" w14:textId="2CD1D185" w:rsidR="000246B6" w:rsidRDefault="000246B6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3"/>
    <w:p w14:paraId="1CDDC2B4" w14:textId="541FE343" w:rsidR="00FA180C" w:rsidRDefault="00AA232C" w:rsidP="00FA180C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55F73821" w14:textId="69ED7302" w:rsidR="00AF4653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04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A17CE9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9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六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0E2095" w:rsidRPr="000E2095">
        <w:rPr>
          <w:rFonts w:ascii="標楷體" w:eastAsia="標楷體" w:hAnsi="標楷體" w:cs="BiauKai" w:hint="eastAsia"/>
          <w:bCs/>
          <w:color w:val="0D0D0D" w:themeColor="text1" w:themeTint="F2"/>
        </w:rPr>
        <w:t>Line Bot及7697物聯網應用研習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1"/>
        <w:gridCol w:w="2977"/>
        <w:gridCol w:w="3685"/>
        <w:gridCol w:w="1701"/>
      </w:tblGrid>
      <w:tr w:rsidR="000E2095" w:rsidRPr="00262F4F" w14:paraId="197FCF99" w14:textId="77777777" w:rsidTr="00336332">
        <w:trPr>
          <w:trHeight w:val="680"/>
        </w:trPr>
        <w:tc>
          <w:tcPr>
            <w:tcW w:w="1231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</w:p>
        </w:tc>
        <w:tc>
          <w:tcPr>
            <w:tcW w:w="3685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14CD9755" w14:textId="13B186E0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0E2095" w:rsidRPr="00336332" w:rsidRDefault="000E2095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</w:p>
        </w:tc>
      </w:tr>
      <w:tr w:rsidR="000E2095" w14:paraId="5AD0A014" w14:textId="77777777" w:rsidTr="00336332">
        <w:trPr>
          <w:trHeight w:val="680"/>
        </w:trPr>
        <w:tc>
          <w:tcPr>
            <w:tcW w:w="1231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574BEEBB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08：40～09：00</w:t>
            </w: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17126715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3685" w:type="dxa"/>
            <w:tcBorders>
              <w:top w:val="double" w:sz="12" w:space="0" w:color="auto"/>
            </w:tcBorders>
            <w:vAlign w:val="center"/>
          </w:tcPr>
          <w:p w14:paraId="04A48848" w14:textId="08D04EC5" w:rsidR="000E2095" w:rsidRPr="00336332" w:rsidRDefault="00336332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1701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80960BA" w14:textId="7EDA8699" w:rsidR="000E2095" w:rsidRPr="00336332" w:rsidRDefault="000E2095" w:rsidP="0033633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蘭潭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科技中</w:t>
            </w: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心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團隊</w:t>
            </w:r>
          </w:p>
        </w:tc>
      </w:tr>
      <w:tr w:rsidR="00797A36" w14:paraId="1EE18B24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1099F74F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0～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10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2977" w:type="dxa"/>
            <w:vAlign w:val="center"/>
          </w:tcPr>
          <w:p w14:paraId="172D24B3" w14:textId="6F508B72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Line Bot帳號的申請設定</w:t>
            </w:r>
          </w:p>
        </w:tc>
        <w:tc>
          <w:tcPr>
            <w:tcW w:w="3685" w:type="dxa"/>
            <w:vAlign w:val="center"/>
          </w:tcPr>
          <w:p w14:paraId="00028290" w14:textId="77777777" w:rsidR="00797A36" w:rsidRPr="00336332" w:rsidRDefault="00797A36" w:rsidP="00336332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Line Bot帳號申請設定</w:t>
            </w:r>
          </w:p>
          <w:p w14:paraId="04371083" w14:textId="1A6097B5" w:rsidR="00797A36" w:rsidRPr="00336332" w:rsidRDefault="00797A36" w:rsidP="00336332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Node.js的安裝及package安裝Ngrok的使用</w:t>
            </w:r>
          </w:p>
        </w:tc>
        <w:tc>
          <w:tcPr>
            <w:tcW w:w="1701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B1139C2" w14:textId="57040914" w:rsidR="00797A36" w:rsidRPr="00336332" w:rsidRDefault="00797A36" w:rsidP="002903B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劉正吉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797A36" w14:paraId="5A9A76CF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4DA39861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2977" w:type="dxa"/>
            <w:vAlign w:val="center"/>
          </w:tcPr>
          <w:p w14:paraId="5F17939A" w14:textId="0244F38B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回話Line Bot</w:t>
            </w:r>
          </w:p>
        </w:tc>
        <w:tc>
          <w:tcPr>
            <w:tcW w:w="3685" w:type="dxa"/>
            <w:vAlign w:val="center"/>
          </w:tcPr>
          <w:p w14:paraId="2A3FBE1D" w14:textId="77777777" w:rsidR="00797A36" w:rsidRPr="00336332" w:rsidRDefault="00797A36" w:rsidP="00336332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能回應你的Line訊息</w:t>
            </w:r>
          </w:p>
          <w:p w14:paraId="27415CD1" w14:textId="6A6D353A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會將你的訊息原封不動傳送回應</w:t>
            </w:r>
          </w:p>
        </w:tc>
        <w:tc>
          <w:tcPr>
            <w:tcW w:w="1701" w:type="dxa"/>
            <w:vMerge/>
            <w:tcBorders>
              <w:right w:val="thickThinSmallGap" w:sz="24" w:space="0" w:color="auto"/>
            </w:tcBorders>
            <w:vAlign w:val="center"/>
          </w:tcPr>
          <w:p w14:paraId="0E046B71" w14:textId="3788589D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797A36" w14:paraId="334BA8C0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2CCDC35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：00～12：00</w:t>
            </w:r>
          </w:p>
        </w:tc>
        <w:tc>
          <w:tcPr>
            <w:tcW w:w="2977" w:type="dxa"/>
            <w:vAlign w:val="center"/>
          </w:tcPr>
          <w:p w14:paraId="0F076E65" w14:textId="7A9FE8FA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與MQTT</w:t>
            </w:r>
          </w:p>
        </w:tc>
        <w:tc>
          <w:tcPr>
            <w:tcW w:w="3685" w:type="dxa"/>
            <w:vAlign w:val="center"/>
          </w:tcPr>
          <w:p w14:paraId="63B9C923" w14:textId="77777777" w:rsidR="00797A36" w:rsidRPr="00336332" w:rsidRDefault="00797A36" w:rsidP="00336332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MQTT簡介</w:t>
            </w:r>
          </w:p>
          <w:p w14:paraId="6966298A" w14:textId="77777777" w:rsidR="00797A36" w:rsidRPr="00336332" w:rsidRDefault="00797A36" w:rsidP="00336332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ine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和MQTT對話</w:t>
            </w:r>
          </w:p>
          <w:p w14:paraId="3D796709" w14:textId="0F548D92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千里傳音</w:t>
            </w:r>
          </w:p>
        </w:tc>
        <w:tc>
          <w:tcPr>
            <w:tcW w:w="1701" w:type="dxa"/>
            <w:vMerge/>
            <w:tcBorders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71B47725" w14:textId="7C284A48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0E2095" w14:paraId="4893F1EB" w14:textId="77777777" w:rsidTr="00336332">
        <w:trPr>
          <w:trHeight w:val="680"/>
        </w:trPr>
        <w:tc>
          <w:tcPr>
            <w:tcW w:w="1231" w:type="dxa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958D36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12：00～13：00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C574B0D" w14:textId="77777777" w:rsidR="000E2095" w:rsidRPr="00336332" w:rsidRDefault="000E2095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午餐休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息時間</w:t>
            </w:r>
          </w:p>
        </w:tc>
        <w:tc>
          <w:tcPr>
            <w:tcW w:w="368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8D87D9" w14:textId="4F2FDE67" w:rsidR="000E2095" w:rsidRPr="00336332" w:rsidRDefault="00336332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午餐休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息時間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5BE70411" w14:textId="75728CB9" w:rsidR="000E2095" w:rsidRPr="00336332" w:rsidRDefault="000E2095" w:rsidP="0033633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蘭潭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科技中</w:t>
            </w: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心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團隊</w:t>
            </w:r>
          </w:p>
        </w:tc>
      </w:tr>
      <w:tr w:rsidR="00797A36" w14:paraId="1CE0C635" w14:textId="77777777" w:rsidTr="00336332">
        <w:trPr>
          <w:trHeight w:val="680"/>
        </w:trPr>
        <w:tc>
          <w:tcPr>
            <w:tcW w:w="1231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：00～14：00</w:t>
            </w:r>
          </w:p>
        </w:tc>
        <w:tc>
          <w:tcPr>
            <w:tcW w:w="2977" w:type="dxa"/>
            <w:vAlign w:val="center"/>
          </w:tcPr>
          <w:p w14:paraId="42AD46AC" w14:textId="2A24248B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透過Li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控制7697</w:t>
            </w:r>
          </w:p>
        </w:tc>
        <w:tc>
          <w:tcPr>
            <w:tcW w:w="3685" w:type="dxa"/>
            <w:vAlign w:val="center"/>
          </w:tcPr>
          <w:p w14:paraId="479AB54C" w14:textId="77777777" w:rsidR="00797A36" w:rsidRPr="00336332" w:rsidRDefault="00797A36" w:rsidP="0033633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ine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控制7697+EZ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 xml:space="preserve"> 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St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art Kit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上的燈泡</w:t>
            </w:r>
          </w:p>
          <w:p w14:paraId="152A056B" w14:textId="77777777" w:rsidR="00797A36" w:rsidRPr="00336332" w:rsidRDefault="00797A36" w:rsidP="0033633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 w:cstheme="minorHAnsi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取得7697所偵測到的溫度</w:t>
            </w:r>
          </w:p>
          <w:p w14:paraId="50E142D9" w14:textId="081EA76D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圖文選單的建立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3CD5A0FB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劉正吉</w:t>
            </w:r>
          </w:p>
        </w:tc>
      </w:tr>
      <w:tr w:rsidR="00797A36" w14:paraId="01D26744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76209A72" w14:textId="7777777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14：00～15：00</w:t>
            </w:r>
          </w:p>
        </w:tc>
        <w:tc>
          <w:tcPr>
            <w:tcW w:w="2977" w:type="dxa"/>
            <w:vAlign w:val="center"/>
          </w:tcPr>
          <w:p w14:paraId="5BD1F449" w14:textId="5E4B2EB4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7697英文單字熟練機</w:t>
            </w:r>
          </w:p>
        </w:tc>
        <w:tc>
          <w:tcPr>
            <w:tcW w:w="3685" w:type="dxa"/>
            <w:vAlign w:val="center"/>
          </w:tcPr>
          <w:p w14:paraId="4188E30A" w14:textId="054B8CE8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7697、Li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ne Bot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、試算表及音訊的整合</w:t>
            </w:r>
          </w:p>
        </w:tc>
        <w:tc>
          <w:tcPr>
            <w:tcW w:w="1701" w:type="dxa"/>
            <w:vMerge/>
            <w:tcBorders>
              <w:right w:val="thickThinSmallGap" w:sz="24" w:space="0" w:color="auto"/>
            </w:tcBorders>
            <w:vAlign w:val="center"/>
          </w:tcPr>
          <w:p w14:paraId="1F4A5603" w14:textId="58F6FA34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797A36" w14:paraId="481F481B" w14:textId="77777777" w:rsidTr="00336332">
        <w:trPr>
          <w:trHeight w:val="680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021A3A19" w14:textId="43338695" w:rsidR="00797A36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</w:t>
            </w:r>
          </w:p>
          <w:p w14:paraId="7FD05BB0" w14:textId="064E3A2B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2977" w:type="dxa"/>
            <w:vAlign w:val="center"/>
          </w:tcPr>
          <w:p w14:paraId="6418D8BC" w14:textId="67F31FD7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Li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 xml:space="preserve">ne 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Bo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t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電腦軟體控制器</w:t>
            </w:r>
          </w:p>
        </w:tc>
        <w:tc>
          <w:tcPr>
            <w:tcW w:w="3685" w:type="dxa"/>
            <w:vAlign w:val="center"/>
          </w:tcPr>
          <w:p w14:paraId="6FB9995A" w14:textId="75195BAF" w:rsidR="00797A36" w:rsidRPr="00336332" w:rsidRDefault="00797A36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用L</w:t>
            </w:r>
            <w:r w:rsidRPr="00336332">
              <w:rPr>
                <w:rFonts w:ascii="標楷體" w:eastAsia="標楷體" w:hAnsi="標楷體" w:cstheme="minorHAnsi"/>
                <w:bCs/>
                <w:szCs w:val="24"/>
              </w:rPr>
              <w:t>ine</w:t>
            </w:r>
            <w:r w:rsidRPr="00336332">
              <w:rPr>
                <w:rFonts w:ascii="標楷體" w:eastAsia="標楷體" w:hAnsi="標楷體" w:cstheme="minorHAnsi" w:hint="eastAsia"/>
                <w:bCs/>
                <w:szCs w:val="24"/>
              </w:rPr>
              <w:t>、7697甚至手機，開啟或關閉電腦軟體，遠端遙控電腦</w:t>
            </w:r>
          </w:p>
        </w:tc>
        <w:tc>
          <w:tcPr>
            <w:tcW w:w="1701" w:type="dxa"/>
            <w:vMerge/>
            <w:tcBorders>
              <w:right w:val="thickThinSmallGap" w:sz="24" w:space="0" w:color="auto"/>
            </w:tcBorders>
            <w:vAlign w:val="center"/>
          </w:tcPr>
          <w:p w14:paraId="2760D02E" w14:textId="15E993BB" w:rsidR="00797A36" w:rsidRPr="00336332" w:rsidRDefault="00797A36" w:rsidP="00797A3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4" w:name="_gjdgxs" w:colFirst="0" w:colLast="0"/>
      <w:bookmarkEnd w:id="4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年國教課綱精神及科技領綱理念，並實踐於課堂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14247A10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04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A17C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8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E008D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五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)止，請欲參加教師至教師在職進修網報名，課程代號：</w:t>
      </w:r>
      <w:r w:rsidR="00E008DD" w:rsidRPr="00E008DD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3395458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7E2B721D" w:rsidR="0051538E" w:rsidRPr="00797A36" w:rsidRDefault="0051538E" w:rsidP="00797A36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797A36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45244" w14:textId="77777777" w:rsidR="005C4C7F" w:rsidRDefault="005C4C7F">
      <w:r>
        <w:separator/>
      </w:r>
    </w:p>
  </w:endnote>
  <w:endnote w:type="continuationSeparator" w:id="0">
    <w:p w14:paraId="38250B89" w14:textId="77777777" w:rsidR="005C4C7F" w:rsidRDefault="005C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96AD" w14:textId="77777777" w:rsidR="005C4C7F" w:rsidRDefault="005C4C7F">
      <w:r>
        <w:separator/>
      </w:r>
    </w:p>
  </w:footnote>
  <w:footnote w:type="continuationSeparator" w:id="0">
    <w:p w14:paraId="23C691B2" w14:textId="77777777" w:rsidR="005C4C7F" w:rsidRDefault="005C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0AC485A6"/>
    <w:lvl w:ilvl="0" w:tplc="8ECE2082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1520F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903BC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E677D"/>
    <w:rsid w:val="004F3011"/>
    <w:rsid w:val="00505EE6"/>
    <w:rsid w:val="0051522F"/>
    <w:rsid w:val="0051538E"/>
    <w:rsid w:val="005319FF"/>
    <w:rsid w:val="00536503"/>
    <w:rsid w:val="00541337"/>
    <w:rsid w:val="005560CE"/>
    <w:rsid w:val="005627E2"/>
    <w:rsid w:val="00572666"/>
    <w:rsid w:val="00594CB5"/>
    <w:rsid w:val="005B1513"/>
    <w:rsid w:val="005C4C7F"/>
    <w:rsid w:val="005E456A"/>
    <w:rsid w:val="00604D09"/>
    <w:rsid w:val="006053C9"/>
    <w:rsid w:val="00617F02"/>
    <w:rsid w:val="006306EF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97A36"/>
    <w:rsid w:val="007B283C"/>
    <w:rsid w:val="007E6F03"/>
    <w:rsid w:val="007F78C9"/>
    <w:rsid w:val="00805BB6"/>
    <w:rsid w:val="00813B37"/>
    <w:rsid w:val="00823850"/>
    <w:rsid w:val="008339E9"/>
    <w:rsid w:val="00873474"/>
    <w:rsid w:val="00882BA8"/>
    <w:rsid w:val="008C640D"/>
    <w:rsid w:val="00914D3A"/>
    <w:rsid w:val="00987E76"/>
    <w:rsid w:val="00991BDB"/>
    <w:rsid w:val="009B5183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6AC5"/>
    <w:rsid w:val="00A91ACE"/>
    <w:rsid w:val="00A93394"/>
    <w:rsid w:val="00AA232C"/>
    <w:rsid w:val="00AA3F83"/>
    <w:rsid w:val="00AB43DC"/>
    <w:rsid w:val="00AE1FEF"/>
    <w:rsid w:val="00AE3044"/>
    <w:rsid w:val="00AF4653"/>
    <w:rsid w:val="00B625A4"/>
    <w:rsid w:val="00B63162"/>
    <w:rsid w:val="00B84F4E"/>
    <w:rsid w:val="00BC76C4"/>
    <w:rsid w:val="00C216A8"/>
    <w:rsid w:val="00C36C06"/>
    <w:rsid w:val="00C43263"/>
    <w:rsid w:val="00C52F4B"/>
    <w:rsid w:val="00C6510E"/>
    <w:rsid w:val="00C860B6"/>
    <w:rsid w:val="00CB5742"/>
    <w:rsid w:val="00CC104A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008DD"/>
    <w:rsid w:val="00E42892"/>
    <w:rsid w:val="00E7384C"/>
    <w:rsid w:val="00E738E3"/>
    <w:rsid w:val="00E84A66"/>
    <w:rsid w:val="00E84AB8"/>
    <w:rsid w:val="00E877A5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user</cp:lastModifiedBy>
  <cp:revision>2</cp:revision>
  <cp:lastPrinted>2021-09-17T05:37:00Z</cp:lastPrinted>
  <dcterms:created xsi:type="dcterms:W3CDTF">2022-03-24T01:40:00Z</dcterms:created>
  <dcterms:modified xsi:type="dcterms:W3CDTF">2022-03-24T01:40:00Z</dcterms:modified>
</cp:coreProperties>
</file>